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123 III 120</w:t>
      </w:r>
    </w:p>
    <w:p>
      <w:r>
        <w:t>Bundesgericht (BGE), 1996-12-17, FR</w:t>
      </w:r>
    </w:p>
    <w:p>
      <w:r>
        <w:rPr>
          <w:b/>
        </w:rPr>
        <w:t xml:space="preserve">Quelle: </w:t>
      </w:r>
      <w:r>
        <w:t>https://mcp.opencaselaw.ch/entscheid/bge_123 III 120</w:t>
      </w:r>
    </w:p>
    <w:p>
      <w:r>
        <w:t>FR: ATF 123 III 120</w:t>
      </w:r>
    </w:p>
    <w:p>
      <w:r>
        <w:t>IT: DTF 123 III 120</w:t>
      </w:r>
    </w:p>
    <w:p>
      <w:pPr>
        <w:pStyle w:val="Heading2"/>
      </w:pPr>
      <w:r>
        <w:t>Regeste</w:t>
      </w:r>
    </w:p>
    <w:p>
      <w:r>
        <w:t>Regeste Verjährung der Forderung aus Handwerksarbeit (Art. 128 Ziff. 3 OR). Der Begriff der Handwerksarbeit bleibt jenen Arbeiten vorbehalten, für welche einerseits eine besondere Technologie nicht notwendig ist, und die anderseits keine besonderen organisatorischen Massnahmen erfordern (Präzisierung der Rechtsprechung; E. 2b). Die Verlegung von Fliesen in hundert Nasszellen fällt nicht unter diesen Begriff (E. 2c).</w:t>
      </w:r>
    </w:p>
    <w:p>
      <w:pPr>
        <w:pStyle w:val="Heading2"/>
      </w:pPr>
      <w:r>
        <w:t>Erwägungen</w:t>
      </w:r>
    </w:p>
    <w:p>
      <w:r>
        <w:rPr>
          <w:b/>
        </w:rPr>
        <w:t>E. 1</w:t>
      </w:r>
    </w:p>
    <w:p>
      <w:r>
        <w:t>a) La cour cantonale a retenu que le travail confié à la demanderesse avait consisté en la fourniture de carrelages acquis au préalable auprès de tiers, puis en la pose de ceux-ci dans les pièces d'eau, les cuisines, les paliers et les buanderies des bâtiments. Elle a estimé que le travail de pose présentait un caractère manuel et nécessitait un certain savoir-faire; la demanderesse avait dû ajuster les carrelages et procéder à des découpes, activité qui, même si elle avait entraîné l'usage de machines, conférait un caractère artisanal au travail fourni. Comme la pose représentait le 60% du prix facturé, soit une importance supérieure à celle des autres prestations, l'autorité cantonale a admis qu'elle était en présence de l'action d'un artisan au sens de l' art. 128 ch. 3 CO . Avec le Tribunal de première instance, elle a considéré que le délai de cinq ans prévu par cette disposition était écoulé au jour du dépôt en conciliation de la demande. Enfin, la cour cantonale a jugé que les défendeurs ne commettaient pas d'abus de droit en invoquant la prescription. BGE 123 III 120 S. 122 b) La demanderesse soutient que l'on doit appliquer à sa créance le délai ordinaire de dix ans de l' art. 127 CO , car son action doit être considérée comme celle d'un entrepreneur et non d'un artisan.</w:t>
      </w:r>
    </w:p>
    <w:p>
      <w:r>
        <w:rPr>
          <w:b/>
        </w:rPr>
        <w:t>E. 2</w:t>
      </w:r>
    </w:p>
    <w:p>
      <w:r>
        <w:t>a) Selon la jurisprudence, l'applicabilité de l' art. 128 ch. 3 CO dépend exclusivement de la nature du travail auquel l'entrepreneur s'est obligé. Dans le travail artisanal, l'activité manuelle revêt une importance supérieure (ou au moins égale) à celle des autres prestations qui supposeront notamment l'emploi de machines, des travaux d'organisation, des tâches administratives. Cette notion correspond au sens usuel de l'expression dans le langage courant. L'artisanat est une activité économique qui s'exerce manuellement au moyen d'outils ou d'instruments simples, pour façonner ou transformer des matériaux. L'utilisation de machines rentre rarement dans ce concept, qui s'oppose en outre à la livraison d'objets construits industriellement en série ( ATF 116 II 428 consid. 1; ATF 109 II 112 consid. 2; cf. aussi les arrêts non publiés du 20.05.1996 dans la cause 4C.416/1995 et du 12.02.1992 dans la cause 4C.318/1991). Ont été, par exemple, reconnus comme travaux artisanaux des travaux de gypserie ou de peinture, l'exécution de cadres avec des baguettes préfabriquées coupées à la longueur requise, l'exécution de batteries pour animaux, la pose d'installations sanitaires et des travaux de ferblanterie, des travaux de transformation et de ventilation de W.-C., le montage d'une antenne collective ou d'une installation électrique, ainsi que l'exécution de travaux de nettoyage ou de jardinage. N'ont, en revanche, pas été considérés comme travaux artisanaux l'édification d'une maison entière, la livraison et le montage de portes et fenêtres normalisées, le déblaiement de l'emplacement d'un gros incendie ou des travaux d'aplanissement de terrain avec un trax (pour tous ces exemples voir GAUCH, Der Werkvertrag, 4e éd., n. 1291 s. et les références). La jurisprudence a encore posé que l' art. 128 ch. 3 CO , en regard de l' art. 127 CO , consacrait une exception et devait dès lors être interprété restrictivement ( ATF 116 II 428 consid. 1b et l'arrêt cité). Dans la doctrine, on penche également pour cette interprétation restrictive et pour que soit appliqué dans le doute le délai normal de prescription de l' art. 127 CO , en particulier lorsque le travail représente plus qu'un simple travail courant ou de routine ("um mehr als um ein schlichtes Alltagsgeschäft handelt") (GAUCH, op.cit., n. 1288; TERCIER, Les contrats spéciaux, 2e éd., n. 3745). BGE 123 III 120 S. 123 b) Tant dans la jurisprudence (arrêt non publié du 20.05.1996 précité, consid. 2a) que parmi la doctrine (cf. GAUCH, op.cit., n. 1291), on a souligné qu'il n'est pas toujours aisé de distinguer si l'on a ou non affaire à un travail artisanal. Certains précédents jugés par le Tribunal fédéral ont fait l'objet de critiques sur le plan théorique (MERZ in RJB 1992 p. 211 et GAUCH in DC 1991 p. 99). Fonder la distinction à effectuer entre la créance d'un artisan et celle d'un entrepreneur exclusivement sur la nature du travail fourni - particulièrement au vu des progrès technologiques accomplis dans les domaines relevant traditionnellement de l'artisanat - n'est pas source de sécurité juridique absolue. Définir le travail artisanal au sens de l' art. 128 ch. 3 CO en fonction uniquement du caractère de l'activité effectuée ne satisfait pas non plus du point de vue de la ratio legis; l'introduction d'un délai plus court s'est faite dans l'idée qu'il était usuel dans certains contrats synallagmatiques de s'exécuter à bref délai, sans généralement dresser d'actes ni garder longtemps de quittances, le fait de tarder à recourir aux tribunaux portant à admettre que le créancier avait été satisfait selon l'usage ( ATF 109 II 112 consid. 2a; 98 II 184 consid. 3b et les références au message du Conseil fédéral). Avec le développement du commerce, cette ratio legis a largement perdu de son sens, ce qui explique aussi pourquoi l'on défend communément, on l'a déjà relevé, une interprétation restrictive de la règle en question. Cela ne veut toutefois pas dire qu'il faille faire totalement abstraction des buts initialement poursuivis par le législateur. Si l'on se rappelle qu'il s'agissait alors de favoriser la liquidation plus rapide de certaines affaires courantes, retenir comme seul critère d'appréciation le caractère manuel du travail effectué, sans prendre en considération l'importance de celui-ci, n'est pas totalement satisfaisant. Il convient de réserver la notion de travail artisanal aux travaux qui de manière générale ne nécessitent pas l'emploi de technologies spéciales, mais aussi qui n'impliquent pas de recourir à des mesures de planification - en matière de personnel ou de délais - ainsi que de coordination avec d'autres corps de métiers, et qui peuvent donc être effectués sans la mise en oeuvre de moyens administratifs particuliers. Ce n'est qu'en présence de travaux manuels typiques, traditionnels, accomplis dans un cadre restreint, que l'on appliquera la prescription réduite de l' art. 128 ch. 3 CO . c) Examinée à l'aune de ces principes, la créance litigieuse ne revêt assurément pas le caractère d'une créance d'artisan. Il est vrai que la pose de carrelages constitue en soi un travail artisanal, et qu'il BGE 123 III 120 S. 124 est constant que celle-ci a représenté le 60% des prestations de la demanderesse. L'exécution d'une telle activité pour plus de 100 pièces d'eau (salles de bains, cuisines, paliers, buanderies) implique cependant des tâches de planification, d'organisation et d'administration qui vont largement au-delà de celles qu'un artisan assume traditionnellement, et qui doivent être assimilées à celles qu'accomplit un entrepreneur, au sens où on l'entend généralement. Autrement dit, on n'est pas en présence d'une affaire courante (Alltagsgeschäft) justifiant une liquidation particulièrement rapide. Dans ces conditions, il convient de s'en tenir au délai usuel de prescription de dix ans.</w:t>
      </w:r>
    </w:p>
    <w:p>
      <w:r>
        <w:rPr>
          <w:b/>
        </w:rPr>
        <w:t>E. 3</w:t>
      </w:r>
    </w:p>
    <w:p>
      <w:r>
        <w:t>Le recours doit être admis. L'arrêt attaqué sera par conséquent annulé. Le Tribunal fédéral est en mesure de statuer au vu du dossier. Les défendeurs admettent qu'au cas où elle serait soumise à la prescription décennale de l' art. 127 CO , la prétention de la demanderesse serait bien fondée. Ils seront ainsi solidairement condamnés à verser à celle-ci le montant de 12'000 fr. Les intérêts partiront à compter du 19 décembre 1994, date de la mise en demeure ( art. 102 et 103 CO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